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BC" w:rsidRPr="00567F07" w:rsidRDefault="009943BC" w:rsidP="009943BC">
      <w:pPr>
        <w:autoSpaceDE w:val="0"/>
        <w:autoSpaceDN w:val="0"/>
        <w:jc w:val="center"/>
        <w:rPr>
          <w:rFonts w:ascii="Arial Narrow" w:hAnsi="Arial Narrow" w:cs="Verdana"/>
          <w:color w:val="000000" w:themeColor="text1"/>
          <w:sz w:val="24"/>
          <w:szCs w:val="24"/>
        </w:rPr>
      </w:pPr>
      <w:r w:rsidRPr="00567F07">
        <w:rPr>
          <w:rFonts w:ascii="Arial Narrow" w:hAnsi="Arial Narrow" w:cs="Verdana"/>
          <w:color w:val="000000" w:themeColor="text1"/>
          <w:sz w:val="24"/>
          <w:szCs w:val="24"/>
        </w:rPr>
        <w:t>ANEXO 27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ind w:left="851" w:hanging="142"/>
        <w:jc w:val="center"/>
        <w:rPr>
          <w:rFonts w:ascii="Arial Narrow" w:hAnsi="Arial Narrow"/>
          <w:color w:val="000000" w:themeColor="text1"/>
          <w:sz w:val="24"/>
          <w:szCs w:val="24"/>
          <w:lang w:val="es-CO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>CONTENIDO MÍNIMO DEL ACUERDO PARA COMPENSAR Y LIQUIDAR A TRAVÉS DE LA CÁMARA DE RIESGO CENTRAL DE CONTRAPARTE DE COLOMBIA S.A. OPERACIONES SOBRE INSTRUMENTOS FINANCIEROS DERIVADOS NO ESTANDARIZADOS CELEBRADAS ENTRE LAS PARTES.</w:t>
      </w:r>
    </w:p>
    <w:p w:rsidR="009943BC" w:rsidRPr="00567F07" w:rsidRDefault="009943BC" w:rsidP="009943BC">
      <w:pPr>
        <w:rPr>
          <w:rFonts w:ascii="Arial Narrow" w:hAnsi="Arial Narrow"/>
          <w:color w:val="000000" w:themeColor="text1"/>
          <w:sz w:val="24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</w:rPr>
        <w:t>Entre los suscritos a saber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, ……………………………………………………………………….., (“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>Parte A”)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, y…………………………………………………………………………………………., (“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Parte B”)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y, conjuntamente con la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Parte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 xml:space="preserve">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A,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se denominarán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“Las Partes”,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 xml:space="preserve">han celebrado el presente acuerdo para compensar y liquidar a través de la Cámara de Riesgo Central de Contraparte de Colombia S.A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con las particularidades que se establezcan por la Cámara para el Segmento que los agrupe,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Instrumentos Financieros Derivados No Estandarizados celebrados entre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, en adelante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EL CONVENIO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,  previas las siguientes:</w:t>
      </w:r>
    </w:p>
    <w:p w:rsidR="009943BC" w:rsidRPr="00567F07" w:rsidRDefault="009943BC" w:rsidP="009943BC">
      <w:pPr>
        <w:jc w:val="center"/>
        <w:rPr>
          <w:rFonts w:ascii="Arial Narrow" w:hAnsi="Arial Narrow"/>
          <w:b w:val="0"/>
          <w:color w:val="000000" w:themeColor="text1"/>
          <w:sz w:val="24"/>
          <w:szCs w:val="24"/>
        </w:rPr>
      </w:pPr>
    </w:p>
    <w:p w:rsidR="009943BC" w:rsidRPr="00567F07" w:rsidRDefault="009943BC" w:rsidP="009943BC">
      <w:pPr>
        <w:jc w:val="center"/>
        <w:rPr>
          <w:rFonts w:ascii="Arial Narrow" w:hAnsi="Arial Narrow"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>CONSIDERACIONES</w:t>
      </w:r>
    </w:p>
    <w:p w:rsidR="009943BC" w:rsidRPr="00567F07" w:rsidRDefault="009943BC" w:rsidP="009943BC">
      <w:pPr>
        <w:jc w:val="center"/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tienen la calidad de entidades vigiladas de la Superintendencia Financiera de Colombia. </w:t>
      </w:r>
    </w:p>
    <w:p w:rsidR="009943BC" w:rsidRPr="00567F07" w:rsidRDefault="009943BC" w:rsidP="009943BC">
      <w:pPr>
        <w:ind w:left="567"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tienen la calidad de Miembros de la Cámara de Riesgo Central de Contraparte de Colombia S.A., en adelante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, y se encuentran debidamente afiliados y activos en el Sistema. </w:t>
      </w:r>
    </w:p>
    <w:p w:rsidR="009943BC" w:rsidRPr="00567F07" w:rsidRDefault="009943BC" w:rsidP="009943BC">
      <w:pPr>
        <w:ind w:firstLine="105"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tienen suscrito un Contrato Marco necesario para la negociación de Instrumentos Financieros Derivados No Estandarizados de conformidad con lo establecido en el Capítulo XVIII – Instrumentos Financieros Derivados y Productos Estructurados de la Circular Básica Contable y Financiera (Circular Externa 100 de 1995) de la Superintendencia Bancaria, hoy Superintendencia Financiera de Colombia.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el Contrato Marco está conformado por su texto y los anexos, un suplemento y las cartas de confirmación de las operaciones realizadas. 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, de acuerdo con el Contrato Marco, están facultadas para la celebración de operaciones sobre Instrumentos Financieros Derivados No Estandarizados. </w:t>
      </w:r>
    </w:p>
    <w:p w:rsidR="009943BC" w:rsidRPr="00567F07" w:rsidRDefault="009943BC" w:rsidP="009943BC">
      <w:pPr>
        <w:ind w:firstLine="60"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de acuerdo con la normativa vigente,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se encuentra autorizada para efectuar la Compensación y Liquidación como contraparte de Instrumentos Financieros Derivados No Estandarizados. 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para interponerse como contraparte se constituirá como acreedora y deudora recíproca de los derechos y obligaciones que se deriven de las operaciones aceptadas, de conformidad con lo establecido en el Reglamento de Funcionamiento y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 con las particularidades que se establezcan por Circular para el Segmento que agrupe los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Instrumentos Financieros Derivados No Estandarizados, asumiendo tal carácter frente a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Las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lastRenderedPageBreak/>
        <w:t>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en la operación de forma irrevocable, quienes mantendrán el vínculo jurídico con la contraparte central y no entre sí, operando de esta forma el fenómeno de la novación.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numPr>
          <w:ilvl w:val="0"/>
          <w:numId w:val="15"/>
        </w:numPr>
        <w:tabs>
          <w:tab w:val="num" w:pos="360"/>
        </w:tabs>
        <w:contextualSpacing/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es intención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remitir operaciones sobre Instrumentos Financieros Derivados No Estandarizados celebradas entre sí a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para su Compensación y Liquidación como contraparte.</w:t>
      </w:r>
    </w:p>
    <w:p w:rsidR="009943BC" w:rsidRPr="00567F07" w:rsidRDefault="009943BC" w:rsidP="009943BC">
      <w:pPr>
        <w:ind w:left="708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 xml:space="preserve">Dadas las anteriores consideraciones,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 xml:space="preserve">han convenido suscribir el presente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>CONVENIO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, el cual se regirá por las siguientes:</w:t>
      </w:r>
    </w:p>
    <w:p w:rsidR="009943BC" w:rsidRPr="00567F07" w:rsidRDefault="009943BC" w:rsidP="009943BC">
      <w:pPr>
        <w:jc w:val="center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center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CLÁUSULAS 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PRIMERA: OBJETO.-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El presente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CONVENIO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tiene como objeto establecer los términos y condiciones en los que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remitirán a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las operaciones celebradas entre sí sobre Instrumentos Financieros Derivados No Estandarizados para su Compensación y Liquidación y novarán las obligaciones y derechos de las mismas en dichas operaciones, como consecuencia de la interposición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como contraparte central. 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>PARÁGRAFO. DEFINICIONES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.-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 Los términos que se utilizan en este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>CONVENI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O, cuya primera letra sea una mayúscula y que no se encuentren expresamente definidos en este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>CONVENIO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, tendrán el significado que se les atribuye en el Reglamento de Funcionamiento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.  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SEGUNDA: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REMISIÓN Y CONFIRMACIÓN A LA CÁMARA DE LAS OPERACIONES SOBRE INSTRUMENTOS FINANCIEROS DERIVADOS NO ESTANDARIZADOS.-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Las operaciones sobre Instrumentos Financieros Derivados No Estandarizados celebradas en un sistema de negociación, en el mercado mostrador o en cualquier otro mecanismo autorizado por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que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pretendan compensar y liquidar a través de la misma, deberán remitirlas y confirmarlas a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únicamente a través de los sistemas de negociación y/o registro de operaciones autorizados por ésta y de acuerdo con lo dispuesto en el Reglamento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. 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TERCERA: INTENCIÓN DE NOVAR.- 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declaran su intención de que los derechos y obligaciones derivados de las operaciones sobre Instrumentos Financieros Derivados No Estandarizados celebradas entre sí, que remitan a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y que ésta acepte como contraparte, sean automáticamente novados, con ocasión de su remisión y de la interposición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como contraparte, surgiendo nuevos derechos y obligaciones de y frente a ésta y extinguiéndose los que hasta ese momento existieran entre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en relación con la operación sobre Instrumentos Financieros Derivados No Estandarizados. En ese sentido, una vez aceptada la operación celebrada sobre un Instrumento Financiero Derivado No Estandarizado, para su Compensación y Liquidación por parte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, dicha operación será novada y se crearán dos nuevas operaciones cuyos Términos Económicos serán los de la operación original, una entre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 Parte A y 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actuará como contraparte del mismo, y otra entre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 Parte B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y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que actuará también como contraparte del mismo.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manifiestan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que en virtud de la novación serán relevadas solamente de los derechos y obligaciones derivadas de la respectiva operación sobre el Instrumento Financiero Derivado No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lastRenderedPageBreak/>
        <w:t xml:space="preserve">Estandarizado original, cuyo cumplimiento deba realizarse después de aceptada la operación por parte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.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CO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PARÁGRAFO PRIMERO: INTENCIÓN DE NOVAR EN EL CAMBIO DE DEUDOR.- Las Partes </w:t>
      </w:r>
      <w:proofErr w:type="gramStart"/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declaran</w:t>
      </w:r>
      <w:proofErr w:type="gramEnd"/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expresamente que aceptan que cuando tengan la calidad de acreedores de la otra parte en una operación sobre un Instrumento Financiero Derivado No Estandarizado, su remisión a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para la Compensación y Liquidación conllevará la liberación de la otra parte deudora.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PARÁGRAFO SEGUNDO: REGLAMENTO DE FUNCIONAMIENTO DE LA CRCC.- 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declaran que las dos nuevas operaciones y las relaciones contractuales que se deriven de las mismas, así como sus efectos quedan sujetos a los Términos de Compensación y Liquidación y se rigen exclusivamente por el Reglamento de Funcionamiento, las Circulares y los Instructivos Operativos de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 CRCC.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En caso de discrepancia, incoherencia o contradicción entre los Términos de Compensación y Liquidación y los Términos Económicos, prevalecerán los Términos de Compensación y Liquidación.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>PARÁGRAFO TERCERO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: Cualquier reforma que se realice al Reglamento o a las Circulares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 que implique una modificación a los términos de los acuerdos o Convenios de vinculación, Oferta de Servicios Aceptada mediante Orden de Compra de Servicios que suscriban los Miembros y estos con sus Terceros se presume conocida y aceptada por las partes a partir de su publicación y entrada en vigencia y no requerirá de la modificación de tales acuerdos o Convenios de vinculación, Oferta de Servicios Aceptada mediante Orden de Compra de Servicios que suscriban los Miembros y estos con sus Terceros, ni de la suscripción de nuevos Convenios. No obstante, cuando haya lugar a ello,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 podrá aprobar unos nuevos textos que incorporen las modificaciones pertinentes y publicarlos mediante Circular para efecto de la vinculación de nuevos Miembros, Agentes y Terceros a través de</w:t>
      </w:r>
      <w:r w:rsidRPr="00567F07">
        <w:rPr>
          <w:rFonts w:ascii="Arial Narrow" w:hAnsi="Arial Narrow"/>
          <w:color w:val="000000" w:themeColor="text1"/>
          <w:szCs w:val="24"/>
          <w:lang w:val="es-CO" w:eastAsia="es-CO"/>
        </w:rPr>
        <w:t xml:space="preserve">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>los Miembros.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CUARTA: FINALIDAD.- 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declaran que conocen y aceptan que el principio de finalidad establecido en las disposiciones legales vigentes y en el Reglamento de Funcionamiento de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se extiende a las operaciones sobre Instrumentos Financieros Derivados No Estandarizados celebradas entre sí, aceptadas por la Cámara en su función de contraparte desde el momento de su aceptación y se aplica a todos los actos necesarios para su cumplimiento, incluida la compensación a que se refiere el artículo 17 de la Ley 964 de 2005.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QUINTA: RECHAZO O NO RECIBO DE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OPERACIONES SOBRE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INSTRUMENTOS FINANCIEROS DERIVADOS NO ESTANDARIZADOS.- 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declaran que si por cualquier razón ya sea de tipo operativo, tecnológico o de riesgo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rechaza o no recibe una o varias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operaciones sobre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>Instrumentos Financieros Derivados No Estandarizados celebradas entre sí, remitidas para su Compensación y Liquidación por parte de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 LA CRCC,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dichas operaciones se seguirán rigiendo por el contrato o acuerdo original suscrito entre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, dichas operaciones serán vinculantes para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y por lo tanto, el cumplimiento de las mismas estará exclusivamente a su cargo en los términos del contrato celebrado por ellas. 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SEXTA: VIGENCIA.-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La vigencia del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CONVENIO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es indefinida. No obstante lo anterior,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 xml:space="preserve">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podrán darlo por terminado en cualquier tiempo, mediante la entrega a la otra parte de un aviso escrito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lastRenderedPageBreak/>
        <w:t xml:space="preserve">en tal sentido, remitido con no menos de treinta (30) días calendario de anticipación al día hábil en el cual desea que dicha terminación tenga efecto. 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CO" w:eastAsia="es-CO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>PARÁGRAFO. NOTIFICACIÓN A LA CRCC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 w:eastAsia="es-CO"/>
        </w:rPr>
        <w:t>.-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 w:eastAsia="es-CO"/>
        </w:rPr>
        <w:t xml:space="preserve">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>En caso de terminación del presente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 CONVENIO, Las Partes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>se obligan a notificar de ello en forma inmediata y por escrito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>a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 LA CRCC.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>En todo caso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 EL CONVENIO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>estará vigente hasta que dicha notificación se haya efectuado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>y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 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CO" w:eastAsia="es-CO"/>
        </w:rPr>
        <w:t xml:space="preserve">haya informado su recibo a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CO" w:eastAsia="es-CO"/>
        </w:rPr>
        <w:t xml:space="preserve">Las Partes. </w:t>
      </w: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CO" w:eastAsia="es-CO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Cs/>
          <w:color w:val="000000" w:themeColor="text1"/>
          <w:sz w:val="24"/>
          <w:szCs w:val="24"/>
        </w:rPr>
        <w:t>SÉPTIMA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>: CONVENIO A DISPOSICIÓN DE LA CRCC.- Las Partes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 xml:space="preserve"> deberán mantener a disposición </w:t>
      </w:r>
      <w:proofErr w:type="gramStart"/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 xml:space="preserve">de  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>LA</w:t>
      </w:r>
      <w:proofErr w:type="gramEnd"/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CRCC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 xml:space="preserve"> un original del presente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CONVENIO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, el cual podrá ser solicitado por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LA CRCC </w:t>
      </w:r>
      <w:r w:rsidRPr="00567F07">
        <w:rPr>
          <w:rFonts w:ascii="Arial Narrow" w:hAnsi="Arial Narrow"/>
          <w:b w:val="0"/>
          <w:color w:val="000000" w:themeColor="text1"/>
          <w:sz w:val="24"/>
          <w:szCs w:val="24"/>
          <w:lang w:val="es-ES_tradnl"/>
        </w:rPr>
        <w:t>en cualquier momento.</w:t>
      </w: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</w:t>
      </w:r>
    </w:p>
    <w:p w:rsidR="009943BC" w:rsidRPr="00567F07" w:rsidRDefault="009943BC" w:rsidP="009943BC">
      <w:pPr>
        <w:jc w:val="both"/>
        <w:rPr>
          <w:rFonts w:ascii="Arial Narrow" w:hAnsi="Arial Narrow"/>
          <w:bCs/>
          <w:color w:val="000000" w:themeColor="text1"/>
          <w:sz w:val="24"/>
          <w:szCs w:val="24"/>
          <w:lang w:val="es-ES_tradnl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  <w:r w:rsidRPr="00567F07">
        <w:rPr>
          <w:rFonts w:ascii="Arial Narrow" w:hAnsi="Arial Narrow"/>
          <w:bCs/>
          <w:color w:val="000000" w:themeColor="text1"/>
          <w:sz w:val="24"/>
          <w:szCs w:val="24"/>
          <w:lang w:val="es-ES_tradnl"/>
        </w:rPr>
        <w:t>OCTAVA</w:t>
      </w:r>
      <w:r w:rsidRPr="00567F07">
        <w:rPr>
          <w:rFonts w:ascii="Arial Narrow" w:hAnsi="Arial Narrow"/>
          <w:bCs/>
          <w:color w:val="000000" w:themeColor="text1"/>
          <w:sz w:val="24"/>
          <w:szCs w:val="24"/>
        </w:rPr>
        <w:t xml:space="preserve">: LEY APLICABLE.- 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El presente</w:t>
      </w:r>
      <w:r w:rsidRPr="00567F07">
        <w:rPr>
          <w:rFonts w:ascii="Arial Narrow" w:hAnsi="Arial Narrow"/>
          <w:bCs/>
          <w:color w:val="000000" w:themeColor="text1"/>
          <w:sz w:val="24"/>
          <w:szCs w:val="24"/>
        </w:rPr>
        <w:t xml:space="preserve"> CONVENIO 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</w:rPr>
        <w:t>se regirá por las leyes de la República de Colombia.</w:t>
      </w:r>
    </w:p>
    <w:p w:rsidR="009943BC" w:rsidRPr="00567F07" w:rsidRDefault="009943BC" w:rsidP="009943BC">
      <w:pPr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 xml:space="preserve">Como constancia de lo anterior, se firma en __________, a los ___________ (____) días del mes de ________ </w:t>
      </w:r>
      <w:proofErr w:type="spellStart"/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de</w:t>
      </w:r>
      <w:proofErr w:type="spellEnd"/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 xml:space="preserve"> _________, en tres (3) copias del mismo tenor. 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Cs/>
          <w:color w:val="000000" w:themeColor="text1"/>
          <w:sz w:val="24"/>
          <w:szCs w:val="24"/>
          <w:lang w:val="es-CO"/>
        </w:rPr>
      </w:pPr>
      <w:r w:rsidRPr="00567F07">
        <w:rPr>
          <w:rFonts w:ascii="Arial Narrow" w:hAnsi="Arial Narrow"/>
          <w:bCs/>
          <w:color w:val="000000" w:themeColor="text1"/>
          <w:sz w:val="24"/>
          <w:szCs w:val="24"/>
          <w:lang w:val="es-ES_tradnl"/>
        </w:rPr>
        <w:t>Parte A: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Por: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  <w:t>_____________________________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Nombre: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Cédula No: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Cargo: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  <w:t>Representante Legal</w:t>
      </w:r>
    </w:p>
    <w:p w:rsidR="009943BC" w:rsidRPr="00567F07" w:rsidRDefault="009943BC" w:rsidP="009943BC">
      <w:pPr>
        <w:jc w:val="both"/>
        <w:rPr>
          <w:rFonts w:ascii="Arial Narrow" w:hAnsi="Arial Narrow"/>
          <w:bCs/>
          <w:color w:val="000000" w:themeColor="text1"/>
          <w:sz w:val="24"/>
          <w:szCs w:val="24"/>
          <w:lang w:val="es-ES_tradnl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color w:val="000000" w:themeColor="text1"/>
          <w:sz w:val="24"/>
          <w:szCs w:val="24"/>
          <w:lang w:val="es-ES_tradnl"/>
        </w:rPr>
        <w:t>Parte B: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Por: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  <w:t>_____________________________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Nombre: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  <w:t xml:space="preserve"> </w:t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Cédula No: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</w:p>
    <w:p w:rsidR="009943BC" w:rsidRPr="00567F07" w:rsidRDefault="009943BC" w:rsidP="009943BC">
      <w:pPr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</w:pP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>Cargo:</w:t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</w:r>
      <w:r w:rsidRPr="00567F07">
        <w:rPr>
          <w:rFonts w:ascii="Arial Narrow" w:hAnsi="Arial Narrow"/>
          <w:b w:val="0"/>
          <w:bCs/>
          <w:color w:val="000000" w:themeColor="text1"/>
          <w:sz w:val="24"/>
          <w:szCs w:val="24"/>
          <w:lang w:val="es-ES_tradnl"/>
        </w:rPr>
        <w:tab/>
        <w:t>Representante Legal</w:t>
      </w:r>
    </w:p>
    <w:p w:rsidR="009943BC" w:rsidRPr="00567F07" w:rsidRDefault="009943BC" w:rsidP="009943BC">
      <w:pPr>
        <w:outlineLvl w:val="0"/>
        <w:rPr>
          <w:rFonts w:ascii="Arial Narrow" w:hAnsi="Arial Narrow"/>
          <w:color w:val="000000" w:themeColor="text1"/>
          <w:sz w:val="24"/>
          <w:szCs w:val="24"/>
          <w:lang w:val="es-ES_tradnl"/>
        </w:rPr>
      </w:pPr>
    </w:p>
    <w:p w:rsidR="00F4676E" w:rsidRPr="009943BC" w:rsidRDefault="00F4676E">
      <w:pPr>
        <w:rPr>
          <w:lang w:val="es-ES_tradnl"/>
        </w:rPr>
      </w:pPr>
      <w:bookmarkStart w:id="0" w:name="_GoBack"/>
      <w:bookmarkEnd w:id="0"/>
    </w:p>
    <w:sectPr w:rsidR="00F4676E" w:rsidRPr="009943BC" w:rsidSect="001264E6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79" w:rsidRDefault="00876679" w:rsidP="001264E6">
      <w:r>
        <w:separator/>
      </w:r>
    </w:p>
  </w:endnote>
  <w:endnote w:type="continuationSeparator" w:id="0">
    <w:p w:rsidR="00876679" w:rsidRDefault="00876679" w:rsidP="0012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79" w:rsidRDefault="00876679" w:rsidP="001264E6">
      <w:r>
        <w:separator/>
      </w:r>
    </w:p>
  </w:footnote>
  <w:footnote w:type="continuationSeparator" w:id="0">
    <w:p w:rsidR="00876679" w:rsidRDefault="00876679" w:rsidP="0012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E6" w:rsidRDefault="001264E6" w:rsidP="001264E6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643B1B07" wp14:editId="4A88BA07">
          <wp:extent cx="1957070" cy="475615"/>
          <wp:effectExtent l="0" t="0" r="5080" b="63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8B8"/>
    <w:multiLevelType w:val="hybridMultilevel"/>
    <w:tmpl w:val="44D0767A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 w15:restartNumberingAfterBreak="0">
    <w:nsid w:val="0A9C2C01"/>
    <w:multiLevelType w:val="hybridMultilevel"/>
    <w:tmpl w:val="DD687A14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9F5F5E"/>
    <w:multiLevelType w:val="hybridMultilevel"/>
    <w:tmpl w:val="44D0767A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293107FA"/>
    <w:multiLevelType w:val="multilevel"/>
    <w:tmpl w:val="82C0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C06560"/>
    <w:multiLevelType w:val="hybridMultilevel"/>
    <w:tmpl w:val="44D0767A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 w15:restartNumberingAfterBreak="0">
    <w:nsid w:val="2C8A6558"/>
    <w:multiLevelType w:val="hybridMultilevel"/>
    <w:tmpl w:val="57E0C9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09F1"/>
    <w:multiLevelType w:val="multilevel"/>
    <w:tmpl w:val="225C8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8903160"/>
    <w:multiLevelType w:val="hybridMultilevel"/>
    <w:tmpl w:val="9FBA0A88"/>
    <w:lvl w:ilvl="0" w:tplc="8586D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635615"/>
    <w:multiLevelType w:val="hybridMultilevel"/>
    <w:tmpl w:val="F76C84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6282D"/>
    <w:multiLevelType w:val="hybridMultilevel"/>
    <w:tmpl w:val="9E8CE752"/>
    <w:lvl w:ilvl="0" w:tplc="B5A6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6D34EF"/>
    <w:multiLevelType w:val="hybridMultilevel"/>
    <w:tmpl w:val="D576D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4727F5"/>
    <w:multiLevelType w:val="hybridMultilevel"/>
    <w:tmpl w:val="D7568338"/>
    <w:lvl w:ilvl="0" w:tplc="9DFAEE7E">
      <w:start w:val="1"/>
      <w:numFmt w:val="lowerRoman"/>
      <w:lvlText w:val="%1)"/>
      <w:lvlJc w:val="left"/>
      <w:pPr>
        <w:ind w:left="285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13" w:hanging="360"/>
      </w:pPr>
    </w:lvl>
    <w:lvl w:ilvl="2" w:tplc="240A001B" w:tentative="1">
      <w:start w:val="1"/>
      <w:numFmt w:val="lowerRoman"/>
      <w:lvlText w:val="%3."/>
      <w:lvlJc w:val="right"/>
      <w:pPr>
        <w:ind w:left="3933" w:hanging="180"/>
      </w:pPr>
    </w:lvl>
    <w:lvl w:ilvl="3" w:tplc="240A000F" w:tentative="1">
      <w:start w:val="1"/>
      <w:numFmt w:val="decimal"/>
      <w:lvlText w:val="%4."/>
      <w:lvlJc w:val="left"/>
      <w:pPr>
        <w:ind w:left="4653" w:hanging="360"/>
      </w:pPr>
    </w:lvl>
    <w:lvl w:ilvl="4" w:tplc="240A0019" w:tentative="1">
      <w:start w:val="1"/>
      <w:numFmt w:val="lowerLetter"/>
      <w:lvlText w:val="%5."/>
      <w:lvlJc w:val="left"/>
      <w:pPr>
        <w:ind w:left="5373" w:hanging="360"/>
      </w:pPr>
    </w:lvl>
    <w:lvl w:ilvl="5" w:tplc="240A001B" w:tentative="1">
      <w:start w:val="1"/>
      <w:numFmt w:val="lowerRoman"/>
      <w:lvlText w:val="%6."/>
      <w:lvlJc w:val="right"/>
      <w:pPr>
        <w:ind w:left="6093" w:hanging="180"/>
      </w:pPr>
    </w:lvl>
    <w:lvl w:ilvl="6" w:tplc="240A000F" w:tentative="1">
      <w:start w:val="1"/>
      <w:numFmt w:val="decimal"/>
      <w:lvlText w:val="%7."/>
      <w:lvlJc w:val="left"/>
      <w:pPr>
        <w:ind w:left="6813" w:hanging="360"/>
      </w:pPr>
    </w:lvl>
    <w:lvl w:ilvl="7" w:tplc="240A0019" w:tentative="1">
      <w:start w:val="1"/>
      <w:numFmt w:val="lowerLetter"/>
      <w:lvlText w:val="%8."/>
      <w:lvlJc w:val="left"/>
      <w:pPr>
        <w:ind w:left="7533" w:hanging="360"/>
      </w:pPr>
    </w:lvl>
    <w:lvl w:ilvl="8" w:tplc="240A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2" w15:restartNumberingAfterBreak="0">
    <w:nsid w:val="5F417FA2"/>
    <w:multiLevelType w:val="hybridMultilevel"/>
    <w:tmpl w:val="2CEA8AB8"/>
    <w:lvl w:ilvl="0" w:tplc="2AF694BC">
      <w:start w:val="1"/>
      <w:numFmt w:val="lowerLetter"/>
      <w:lvlText w:val="%1)"/>
      <w:lvlJc w:val="left"/>
      <w:pPr>
        <w:ind w:left="1773" w:hanging="360"/>
      </w:pPr>
      <w:rPr>
        <w:rFonts w:ascii="Arial Narrow" w:eastAsia="Times New Roman" w:hAnsi="Arial Narrow" w:cs="Arial" w:hint="default"/>
      </w:rPr>
    </w:lvl>
    <w:lvl w:ilvl="1" w:tplc="240A0019">
      <w:start w:val="1"/>
      <w:numFmt w:val="lowerLetter"/>
      <w:lvlText w:val="%2."/>
      <w:lvlJc w:val="left"/>
      <w:pPr>
        <w:ind w:left="2493" w:hanging="360"/>
      </w:pPr>
    </w:lvl>
    <w:lvl w:ilvl="2" w:tplc="240A001B">
      <w:start w:val="1"/>
      <w:numFmt w:val="lowerRoman"/>
      <w:lvlText w:val="%3."/>
      <w:lvlJc w:val="right"/>
      <w:pPr>
        <w:ind w:left="3213" w:hanging="180"/>
      </w:pPr>
    </w:lvl>
    <w:lvl w:ilvl="3" w:tplc="240A000F" w:tentative="1">
      <w:start w:val="1"/>
      <w:numFmt w:val="decimal"/>
      <w:lvlText w:val="%4."/>
      <w:lvlJc w:val="left"/>
      <w:pPr>
        <w:ind w:left="3933" w:hanging="360"/>
      </w:pPr>
    </w:lvl>
    <w:lvl w:ilvl="4" w:tplc="240A0019" w:tentative="1">
      <w:start w:val="1"/>
      <w:numFmt w:val="lowerLetter"/>
      <w:lvlText w:val="%5."/>
      <w:lvlJc w:val="left"/>
      <w:pPr>
        <w:ind w:left="4653" w:hanging="360"/>
      </w:pPr>
    </w:lvl>
    <w:lvl w:ilvl="5" w:tplc="240A001B" w:tentative="1">
      <w:start w:val="1"/>
      <w:numFmt w:val="lowerRoman"/>
      <w:lvlText w:val="%6."/>
      <w:lvlJc w:val="right"/>
      <w:pPr>
        <w:ind w:left="5373" w:hanging="180"/>
      </w:pPr>
    </w:lvl>
    <w:lvl w:ilvl="6" w:tplc="240A000F" w:tentative="1">
      <w:start w:val="1"/>
      <w:numFmt w:val="decimal"/>
      <w:lvlText w:val="%7."/>
      <w:lvlJc w:val="left"/>
      <w:pPr>
        <w:ind w:left="6093" w:hanging="360"/>
      </w:pPr>
    </w:lvl>
    <w:lvl w:ilvl="7" w:tplc="240A0019" w:tentative="1">
      <w:start w:val="1"/>
      <w:numFmt w:val="lowerLetter"/>
      <w:lvlText w:val="%8."/>
      <w:lvlJc w:val="left"/>
      <w:pPr>
        <w:ind w:left="6813" w:hanging="360"/>
      </w:pPr>
    </w:lvl>
    <w:lvl w:ilvl="8" w:tplc="24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6CEC63C5"/>
    <w:multiLevelType w:val="hybridMultilevel"/>
    <w:tmpl w:val="A3CA30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D10040"/>
    <w:multiLevelType w:val="hybridMultilevel"/>
    <w:tmpl w:val="4B8207EE"/>
    <w:lvl w:ilvl="0" w:tplc="8AE28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E6"/>
    <w:rsid w:val="000729B6"/>
    <w:rsid w:val="001264E6"/>
    <w:rsid w:val="00286A87"/>
    <w:rsid w:val="00876679"/>
    <w:rsid w:val="009943BC"/>
    <w:rsid w:val="00F4676E"/>
    <w:rsid w:val="00F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282946-201B-4327-930F-2C738F5C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E6"/>
    <w:pPr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4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4E6"/>
    <w:rPr>
      <w:rFonts w:ascii="Arial" w:eastAsia="Times New Roman" w:hAnsi="Arial" w:cs="Arial"/>
      <w:b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64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4E6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Gámez</dc:creator>
  <cp:keywords/>
  <dc:description/>
  <cp:lastModifiedBy>Stefany Gámez</cp:lastModifiedBy>
  <cp:revision>2</cp:revision>
  <dcterms:created xsi:type="dcterms:W3CDTF">2017-02-21T13:49:00Z</dcterms:created>
  <dcterms:modified xsi:type="dcterms:W3CDTF">2017-02-21T13:49:00Z</dcterms:modified>
</cp:coreProperties>
</file>